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2F" w:rsidRPr="00DE082F" w:rsidRDefault="00DE082F" w:rsidP="00DE082F">
      <w:pPr>
        <w:spacing w:beforeLines="1" w:afterLines="1"/>
        <w:jc w:val="center"/>
        <w:outlineLvl w:val="2"/>
        <w:rPr>
          <w:rFonts w:ascii="Times" w:hAnsi="Times"/>
          <w:b/>
          <w:sz w:val="27"/>
          <w:szCs w:val="20"/>
        </w:rPr>
      </w:pPr>
      <w:r w:rsidRPr="00DE082F">
        <w:rPr>
          <w:rFonts w:ascii="Times" w:hAnsi="Times"/>
          <w:b/>
          <w:sz w:val="27"/>
          <w:szCs w:val="20"/>
        </w:rPr>
        <w:t>References</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Ahas R. (1999) Long-term phyto-, ornitho- and ichthyophenological time-series analyses in Estonia. International Journal of Biometeorology. 42, 119-123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Ascher J. S. and Pickering J. (2010) World bee diversity -- Interactive checklists of world bees by country. www.discoverlife.org/nh/cl/counts/Apoidea_species.html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Bale J. S., Masters G. J., Hodkinson I. D., Awmack C., Martijn Bezemer T., Brown V. K., Butterfield J., Buse A., Coulson J. C., Farrar J., Good J. E. G., Harrington R., Hartley S., Hefin Jones T., Lindroth R. L., Press M. C., Symrnioudis I., Watt A. D., Whittaker J. B. (2002) Herbivory in global climate change research: direct effects of rising temperature on insect herbivores. Global Change Biology. 8, 1-16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Barrett N., Edgar G., Morton A. (2002) Monitoring of Tasmanian inshore reef ecosystems. An assessment of the potential for volunteer monitoring programs and a summary of changes within the Maria Island Marine Reserve from 1992-2001. Tasmanian Aquaculture and Fisheries Institute Technical Report Series. p 53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Bartlett R., Pickering J., Gauld I., Windsor D.(1999) Estimating global diversity: tropical beetles and wasps send different signals. Ecological Entomology. 24, 118-121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Beebee T. J. C. (1995) Amphibian breeding and climate. Nature. 374, 219-220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Biesmeijer J. C., Roberts S. P. M., Reemer M., Ohlemüller R., Edwards M., Peeters T., Schaffers A. P., Potts S. G., Kleukers R., Thomas C. D., Settele J., Kunin W. E. (2006) Parallel declines in pollinators and insect-pollinated plants in Britain and the Netherlands. Science. 313, 251-254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Both C. and Visser M. E. (2001) Adjustment to climate change is constrained by a rrival date in a long-distance migrant bird. Nature. 411, 296-298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Bradley N. L., Leopold A. C., Ross J., Huffaker W. (1999) Phenological changes reflect climate change in Wisconsin. Proceedings of the National Academy of Sciences. 96, 9701-9704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Brandon A., Spyreas G., Molano-Flores B., Carroll C., Ellis J. (2003) Can volunteers provide reliable data for forest vegetation surveys? Natural Areas Journal. 23, 254-261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Buse A. and Good J. E. G. (1996) Synchronization of larval emergence in winter moth (</w:t>
      </w:r>
      <w:r w:rsidRPr="00DE082F">
        <w:rPr>
          <w:rFonts w:ascii="Times" w:hAnsi="Times"/>
          <w:i/>
          <w:sz w:val="20"/>
          <w:szCs w:val="20"/>
        </w:rPr>
        <w:t>Operophtera brumata</w:t>
      </w:r>
      <w:r w:rsidRPr="00DE082F">
        <w:rPr>
          <w:rFonts w:ascii="Times" w:hAnsi="Times"/>
          <w:sz w:val="20"/>
          <w:szCs w:val="20"/>
        </w:rPr>
        <w:t xml:space="preserve"> L.) and budburst in pedunculate oak (</w:t>
      </w:r>
      <w:r w:rsidRPr="00DE082F">
        <w:rPr>
          <w:rFonts w:ascii="Times" w:hAnsi="Times"/>
          <w:i/>
          <w:sz w:val="20"/>
          <w:szCs w:val="20"/>
        </w:rPr>
        <w:t>Quercus robur</w:t>
      </w:r>
      <w:r w:rsidRPr="00DE082F">
        <w:rPr>
          <w:rFonts w:ascii="Times" w:hAnsi="Times"/>
          <w:sz w:val="20"/>
          <w:szCs w:val="20"/>
        </w:rPr>
        <w:t xml:space="preserve"> L.) under simulated climate change. Ecological Entomology. 21, 335-343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Crall A. W., Newman G. J., Jarnevich C. S., Stohlgren T. J., Waller D. M., Graham J. (2010) Improving and integrating data on invasive species collected by citizen scientists. Biological Invasions. Online publication date: March 7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Dennis R. L. H. (1993) Butterflies and Climate Change. Manchester University Press, Manchester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Dewar R. C. and Watt A. D. (1992) Predicted changes in the synchrony of larval emergence and budburst under climatic warming. Oecologia. 89, 557-559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Ellis C. J., Coppins B. J., Dawson T. P., Seaward M. R. D. (2007) Response of British lichens to climate change scenarios: Trends and uncertainties in the projected impact for contrasting biogeographic groups. Biological Conservation. 140, 217-235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Ericsson G. and Wallin K. (1999) Hunter observations as an index of moose Alces alces population parameters. Wildlife Biology. 5, 177-185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Field C, DeFries R, Foster D, et al. 2006. Integrated science and education plan for the National Ecological Observatory Network. www.neoninc.org/documents/ISEP September 14 2010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Fitter A. H. and Fitter R. S. R. (2002) Rapid Changes in Flowering Time in British Plants. Science. 296(5573), 1689-1691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Fontaine C., Dajoz I., Meriguet J., Loreau M. (2006) Functional diversity of plant-pollinator interaction webs enhances the persistence of plant communities. Public Library of Science. 4(1) e1, 129-135 http://www.plosbiology.org/article/info:doi%2F10.1371%2Fjournal.pbio.0040001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Garty J. (2005) Biomonitoring atmospheric heavy metals with lichens: theory and application. Critical Reviews in Plant Sciences. 20(4), 309-371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Genet K. S. and Sargent L. G. (2003) Evaluation of methods and data quality from a volunteer-hased amphihian call survey. Wildlife Society Bulletin. 31, 703-714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Gibbs J. P. and Breisch A. R. (2001) Climate warming and calling phenology of frogs near Ithaca, New York, 1900-1999. Conservation Biology. 15, 1175-1178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Grabherr G., Gottfried M., Pauli H. (1994) Climate effects on mountain plants. Nature 369, 448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Hargrove W. W. and Hoffman F. M. (2009) Index to NEON Domain Development Web Pages. http://www.geobabble.org/~hnw/neon/neonindex/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Hargrove W. W. and Pickering J. (1992) Pseudoreplication: a sine qua non for regional ecology. Landscape Ecology. 6(4), 251-258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Hegland S. J., Nielsen A., Lázaro A., Bjerknes A., Totland Ø. (2009) How does climate warming affect plant-pollinator interactions? Ecology Letters. 12, 184-195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Hill J. K. and Hodkinson I. D. (1995) Effects of temperature on phenological synchrony and altitudinal distribution of jumping plant-lice (Hemiptera: Psylloidea) on dwarf willow (</w:t>
      </w:r>
      <w:r w:rsidRPr="00DE082F">
        <w:rPr>
          <w:rFonts w:ascii="Times" w:hAnsi="Times"/>
          <w:i/>
          <w:sz w:val="20"/>
          <w:szCs w:val="20"/>
        </w:rPr>
        <w:t>Salix lapponum</w:t>
      </w:r>
      <w:r w:rsidRPr="00DE082F">
        <w:rPr>
          <w:rFonts w:ascii="Times" w:hAnsi="Times"/>
          <w:sz w:val="20"/>
          <w:szCs w:val="20"/>
        </w:rPr>
        <w:t xml:space="preserve">) in Norway. Ecological Entomology. 20, 237-244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Hochberg M. E., Pickering J. and Getz W. M. (1986) Evaluation of phenology models using field data: case study for the pea aphid, </w:t>
      </w:r>
      <w:r w:rsidRPr="00DE082F">
        <w:rPr>
          <w:rFonts w:ascii="Times" w:hAnsi="Times"/>
          <w:i/>
          <w:sz w:val="20"/>
          <w:szCs w:val="20"/>
        </w:rPr>
        <w:t>Acyrthosiphon pisum</w:t>
      </w:r>
      <w:r w:rsidRPr="00DE082F">
        <w:rPr>
          <w:rFonts w:ascii="Times" w:hAnsi="Times"/>
          <w:sz w:val="20"/>
          <w:szCs w:val="20"/>
        </w:rPr>
        <w:t xml:space="preserve">, and the blue alfalfa aphid, </w:t>
      </w:r>
      <w:r w:rsidRPr="00DE082F">
        <w:rPr>
          <w:rFonts w:ascii="Times" w:hAnsi="Times"/>
          <w:i/>
          <w:sz w:val="20"/>
          <w:szCs w:val="20"/>
        </w:rPr>
        <w:t>Acyrthosiphon kondoi</w:t>
      </w:r>
      <w:r w:rsidRPr="00DE082F">
        <w:rPr>
          <w:rFonts w:ascii="Times" w:hAnsi="Times"/>
          <w:sz w:val="20"/>
          <w:szCs w:val="20"/>
        </w:rPr>
        <w:t xml:space="preserve"> (Homoptera: Aphididae). Environmental Entomology. 15, 227-231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Hochuli D. F. (1996) The ecology of plant/insect interactions: implications of digestive strategy for feeding by phytophagous insects. Oikos. 75, 133-141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Hodkinson I. D., Bird J., Miles J. E., Bale J. S., Lennon J. J. (1999) Climatic signals in the life histories of insects: the distribution and abundance of heather psyllids (Strophingia spp.) in the UK. Functional Ecology. 13 (Suppl.), 83-95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Kauserud H. (2008) Mushroom fruiting and climate change. Proceedings of the National Academy of Sciences of the United States of America. 105(10), 3811-3814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Kauserud H., Heegaard E., Semenov M. A., Boddy L., Halvorsen R., Stige L. C., Sparks T. H., Gange A. C., Stenseth N. C. (2010) Climate change and spring-fruiting fungi. Proceedings of the Royal Society B. 277, 1169-1177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Körner C. and Basler D. (2010) Phenology Under Global Warming. Science. 327, 1461-1462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Lavoie C. and Lachance D. (2006) A new herbarium-based method for reconstructing the phenology of plant species across large areas. American Journal of Botany. 93, 512-516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Menzel A. (2000) Trends in phenological phases in Europe between 1951 and 1996. International Journal of Biometerology. 44, 76-81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Menzel A., Estrella N., Fabian P. (2001) Spatial and temporal variability of the phenological seasons in Germany from 1951 to 1996. Global Change Biology. 7, 657-666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Menzel A. and Fabian P. (1999) Growing season extended in Europe. Nature. 397, p. 659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Miles J. E., Bale J. S., Hodkinson I. D. (1997) Effects of temperature elevation on the population dynamics of the upland race of the heather psyllid </w:t>
      </w:r>
      <w:r w:rsidRPr="00DE082F">
        <w:rPr>
          <w:rFonts w:ascii="Times" w:hAnsi="Times"/>
          <w:i/>
          <w:sz w:val="20"/>
          <w:szCs w:val="20"/>
        </w:rPr>
        <w:t>Strophingia ericae</w:t>
      </w:r>
      <w:r w:rsidRPr="00DE082F">
        <w:rPr>
          <w:rFonts w:ascii="Times" w:hAnsi="Times"/>
          <w:sz w:val="20"/>
          <w:szCs w:val="20"/>
        </w:rPr>
        <w:t xml:space="preserve"> (Curtis) (Homoptera: Psylloidea). Global Change Biology. 3, 291-297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Miller-Rushing A. J., Inouye D. W., Primack R. B. (2008) How well do first flowering dates measure plant responses to climate change? The effects of population size and sampling frequency. Journal of Ecology. 96, 1289-1296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Mumby P. A., Harborne A. R., Raines R. P., Ridley J. M. (1995) A critical appraisal of data derived from Coral Cay conservation volunteers. Bulletin of Marine Science 56, 737-751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Parmesan C. (2007) Influences of species, latitudes and methodologies on estimates of phenological response to global warming. Global Change Biology. 13, 1860-1872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Parmesan C., Ryrholm N., Stefanescu C., Hill J. K., Thomas C.D., Descimon H., Huntley B., Kaila L., Kullberg J., Tammaru T., Tennent W. J., Thomas J. A., Warren M. (1999) Poleward shifts in geographical ranges of butterfly species associated with regional warming. Nature. 399, 579-583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Parmesan C. and Yohe G. (2003) A globally coherent fingerprint of climate change impacts across natural systems. Nature. 421, 37-42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Primack D., Imbres C., Primack R. B., Miller-Rushing A. J., Del Tredici P. (2004) Herbarium Specimens Demonstrate Earlier Flowering Times in Response to Warming in Boston. American Journal of Botany. 91(8), 1260-1264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Rodríguez J. P. (2003) Challenges and opportunities for surveying and monitoring tropical biodiversity-a response to Danielsen et al. Oryx. 37, 411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Root T. L., Price J. T., Hall K. R., Schneider S. H., Rosenzweig C., Pounds J. A. (2003) Fingerprints of global warming on wild animals and plants. Nature. 421, 57-60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Ross D. W., Pickering J., Berg J. D. and Berisford W. C. (1989) Mapping Nantucket pine tip moth (Lepidoptera: Tortricidae) development in Georgia. Journal of Entomological Science. 24, 405-412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Rossbach M., Jayasekera R., Kniewald G., Hu Thang N. (1999) Large scale air monitoring: lichen vs. air particulate matter analysis. Science of the Total Environment, 232(1-2), 59-66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Roy D. B. and Sparks T. H. (2000) Phenology of British butterflies and climate change. Global Change Biology. 6, 407-416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Skillen E. L., Pickering J., Sharkey M. J. (2000) Species richness of the Campopleginae and Ichneumoninae (Hymenoptera: Ichneumonidae) along a latitudinal gradient in eastern North American old-growth forests. Environmental Entomology. 29(3), 460-466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Steffan-Dewenter I., Potts S. G., Packer L. (2005) Pollinator diversity and crop pollination services are at risk. TRENDS in Ecology and Evolution. 20(12), 651-652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Stephenson S. L. (1989) Distribution and ecology of myxomycetes in temperate forests. II. Patterns of occurrence on bark surface of living trees, leaf litter, and dung. Mycologia. 81, 608-621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Stephenson S. L. (2010) The Kingdom Fungi: The Biology of Mushrooms, Molds, and Lichens. Timber Press, London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Stephenson S. L. and Stempen H. (1994) Myxomycetes: a handbook of slime molds. Timber Press, Portland, Oregon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Strathdee A. T., Bale J. S., Block W., Coulson S. J., Hodkinson I. D., Webb N. R. (1993) Effects of temperature elevation on a field population of </w:t>
      </w:r>
      <w:r w:rsidRPr="00DE082F">
        <w:rPr>
          <w:rFonts w:ascii="Times" w:hAnsi="Times"/>
          <w:i/>
          <w:sz w:val="20"/>
          <w:szCs w:val="20"/>
        </w:rPr>
        <w:t>Acyrthosiphon svalbardicum</w:t>
      </w:r>
      <w:r w:rsidRPr="00DE082F">
        <w:rPr>
          <w:rFonts w:ascii="Times" w:hAnsi="Times"/>
          <w:sz w:val="20"/>
          <w:szCs w:val="20"/>
        </w:rPr>
        <w:t xml:space="preserve"> (Hemiptera: Aphididae) on Spitsbergen. Oecologia. 96, 457-465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Thomas C. D. and Lennon J. J. (1999) Birds extend their ranges northwards. Nature. 399, 213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Visser M. E., Both C., Lambrechts M. M. (2004) Global climate change leads to mistimed avian reproduction. Advances in Ecological Research. 35, 89-110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Visser M. E. and Holleman L. J. M. (2001) Warmer springs disrupt the synchrony of oak and winter moth phenology. Proceedings of the Royal Society. 268, 289-294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Walther G., Post E., Convey P., Menzel A., Parmesan C., Beebee T. J. C., Fromentin J., Hoegh-Guldberg O., Bairlein F. (2002) Ecological responses to recent climate change. Nature. 416, 389-395 </w:t>
      </w:r>
    </w:p>
    <w:p w:rsidR="00DE082F" w:rsidRPr="00DE082F" w:rsidRDefault="00DE082F" w:rsidP="00DE082F">
      <w:pPr>
        <w:numPr>
          <w:ilvl w:val="0"/>
          <w:numId w:val="1"/>
        </w:numPr>
        <w:spacing w:beforeLines="1" w:afterLines="1"/>
        <w:rPr>
          <w:rFonts w:ascii="Times" w:hAnsi="Times"/>
          <w:sz w:val="20"/>
          <w:szCs w:val="20"/>
        </w:rPr>
      </w:pPr>
      <w:r w:rsidRPr="00DE082F">
        <w:rPr>
          <w:rFonts w:ascii="Times" w:hAnsi="Times"/>
          <w:sz w:val="20"/>
          <w:szCs w:val="20"/>
        </w:rPr>
        <w:t xml:space="preserve">Whittaker J. B. and Tribe N. P. (1996) An altitudinal transect as an indicator of responses of a spittlebug (Auchenorrhyncha, Cercopidae) to climate change. European Journal of Entomology, 93, 319-324 </w:t>
      </w:r>
    </w:p>
    <w:p w:rsidR="00E16746" w:rsidRDefault="00DE082F"/>
    <w:sectPr w:rsidR="00E16746" w:rsidSect="00E167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altName w:val="Symbol"/>
    <w:panose1 w:val="020005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53C8"/>
    <w:multiLevelType w:val="multilevel"/>
    <w:tmpl w:val="D3BC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E082F"/>
    <w:rsid w:val="00DE082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A1"/>
  </w:style>
  <w:style w:type="paragraph" w:styleId="Heading3">
    <w:name w:val="heading 3"/>
    <w:basedOn w:val="Normal"/>
    <w:link w:val="Heading3Char"/>
    <w:uiPriority w:val="9"/>
    <w:rsid w:val="00DE082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DE082F"/>
    <w:rPr>
      <w:rFonts w:ascii="Times" w:hAnsi="Times"/>
      <w:b/>
      <w:sz w:val="27"/>
      <w:szCs w:val="20"/>
    </w:rPr>
  </w:style>
</w:styles>
</file>

<file path=word/webSettings.xml><?xml version="1.0" encoding="utf-8"?>
<w:webSettings xmlns:r="http://schemas.openxmlformats.org/officeDocument/2006/relationships" xmlns:w="http://schemas.openxmlformats.org/wordprocessingml/2006/main">
  <w:divs>
    <w:div w:id="493223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1563</Words>
  <Characters>8912</Characters>
  <Application>Microsoft Macintosh Word</Application>
  <DocSecurity>0</DocSecurity>
  <Lines>74</Lines>
  <Paragraphs>17</Paragraphs>
  <ScaleCrop>false</ScaleCrop>
  <Company>The Polistes Foundation</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Pickering</dc:creator>
  <cp:keywords/>
  <cp:lastModifiedBy>John Pickering</cp:lastModifiedBy>
  <cp:revision>1</cp:revision>
  <dcterms:created xsi:type="dcterms:W3CDTF">2010-09-16T19:49:00Z</dcterms:created>
  <dcterms:modified xsi:type="dcterms:W3CDTF">2010-09-16T19:50:00Z</dcterms:modified>
</cp:coreProperties>
</file>